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808000"/>
          <w:sz w:val="27"/>
          <w:szCs w:val="27"/>
          <w:lang w:eastAsia="id-ID"/>
        </w:rPr>
        <w:t>Pendahuluan</w:t>
      </w:r>
      <w:r w:rsidRPr="00D10A00">
        <w:rPr>
          <w:rFonts w:ascii="Arial" w:eastAsia="Times New Roman" w:hAnsi="Arial" w:cs="Arial"/>
          <w:color w:val="222222"/>
          <w:sz w:val="15"/>
          <w:szCs w:val="15"/>
          <w:lang w:eastAsia="id-ID"/>
        </w:rPr>
        <w:br/>
      </w:r>
      <w:r w:rsidRPr="00D10A00">
        <w:rPr>
          <w:rFonts w:ascii="Arial" w:eastAsia="Times New Roman" w:hAnsi="Arial" w:cs="Arial"/>
          <w:color w:val="222222"/>
          <w:sz w:val="15"/>
          <w:szCs w:val="15"/>
          <w:lang w:eastAsia="id-ID"/>
        </w:rPr>
        <w:br/>
      </w:r>
      <w:r w:rsidRPr="00D10A00">
        <w:rPr>
          <w:rFonts w:ascii="Tahoma" w:eastAsia="Times New Roman" w:hAnsi="Tahoma" w:cs="Tahoma"/>
          <w:color w:val="222222"/>
          <w:sz w:val="20"/>
          <w:szCs w:val="20"/>
          <w:lang w:eastAsia="id-ID"/>
        </w:rPr>
        <w:t>Penilaian Peringkat Kinerja Penaatan dalam Pengelolaan Lingkungan mulai dikembangkan oleh Kementerian Negara Lingkungan Hidup, sebagai salah satu alternatif instrumen penaatan sejak tahun 1995. Program ini pada awalnya dikenal dengan nama PROPER PROKASIH. Alternatif instrumen penaatan ini dilakukan melalui penyebaran informasi tingkat kinerja penaatan masing-masing perusahaan kepada stakeholder pada skala nasional.</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Diharapkan para stakeholder dapat menyikapi secara aktif informasi tingkat penaatan ini, dan mendorong perusahaan untuk lebih meningkatkan kinerja pengelolaan lingkungannya. Dengan demikian, dampak lingkungan dari kegiatan perusahaan dapat diminimalisasi. Dengan kata lain, PROPER merupakan Public Disclosure Program for Environmental Compliance.</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PROPER bukan pengganti instrumen penaatan konvensional yang ada, seperti penegakan hukum lingkungan perdata maupun pidana. Program ini merupakan komplementer dan bersinergi dengan instrumen penaatan lainnya. Dengan demikian upaya peningkatan kualitas lingkungan dapat dilaksanakan dengan lebih efisien dan efektif.</w:t>
      </w:r>
    </w:p>
    <w:tbl>
      <w:tblPr>
        <w:tblW w:w="8205"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383"/>
        <w:gridCol w:w="7822"/>
      </w:tblGrid>
      <w:tr w:rsidR="00D10A00" w:rsidRPr="00D10A00" w:rsidTr="00D10A00">
        <w:trPr>
          <w:tblCellSpacing w:w="15" w:type="dxa"/>
        </w:trPr>
        <w:tc>
          <w:tcPr>
            <w:tcW w:w="7560" w:type="dxa"/>
            <w:gridSpan w:val="2"/>
            <w:tcBorders>
              <w:top w:val="dotted" w:sz="4" w:space="0" w:color="D3D3D3"/>
              <w:left w:val="nil"/>
              <w:bottom w:val="single" w:sz="4" w:space="0" w:color="D3D3D3"/>
              <w:right w:val="nil"/>
            </w:tcBorders>
            <w:hideMark/>
          </w:tcPr>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Pemikiran perlunya pengembangan alternatif instrumen penaatan ini didasari oleh berbagai faktor, antara lain: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masih rendahnya tingkat penaatan perusahaan karena belum efektifnya berbagai instrumen penaatan yang ada</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meningkatnya tuntutan transparansi dan keterlibatan publik dalam pengelolaan lingkungan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adanya kebutuhan insentif terhadap upaya pengelolaan lingkungan dilakukan oleh perusahaan, demi menciptakan nilai tambah pengelolaan lingkungan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adanya potensi peningkatan kinerja penaatan melalui penyebaran informasi</w:t>
            </w:r>
          </w:p>
        </w:tc>
      </w:tr>
    </w:tbl>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Penyebaran informasi kinerja perusahaan akan mendorong interaksi yang intensif antara perusahaan, pekerja, kelompok masyarakat, konsumen, pasar modal dan investor, serta instansi pemerintah terkait. Melalui penyebaran informasi melalui media massa ini diharapkan para stakeholder dapat berpartisipasi secara proaktif dalam menyikapi informasi kinerja penaatan masing-masing perusahaan, sesuai dengan kapasitas masing-masing.</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Penyebaran informasi kinerja penaatan perusahaan kepada publik dapat menciptakan insentif dan disinsentif reputasi. Para stakeholder akan memberikan tekanan terhadap perusahaan yang kinerja pengelolaan lingkungannya belum baik. Sebaliknya, perusahaan yang kinerja pengelolaan lingkungannya baik akan mendapat apresiasi dari para stakeholder.</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Pengalaman selama ini menunjukkan, penyebaran informasi tingkat penaatan dalam skala nasional lebih efektif dibandingkan penyebaran informasi pada skala lokal. Untuk itu, PROPER Nasional akan lebih efektif dalam meningkatkan penaatan perusahaan pada tingkat Nasional, dibandingkan PROPER pada tingkat Provinsi atau Kabupaten/Kota.</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PROPER merupakan salah satu bentuk kebijakan pemerintah, untuk meningkatkan kinerja pengelolaan lingkungan perusahaan sesuai dengan yang telah ditetapkan dalam peraturan perundangan-undangan. Selanjutnya PROPER juga merupakan perwujudan transparansi dan demokratisasi dalam pengelolaan lingkungan di Indonesia. Penerapan instrumen ini merupakan upaya Kementerian Negara Lingkungan Hidup untuk menerapkan sebagian dari prinsip-prinsip good governance (transparansi, berkeadilan, akuntabel, dan pelibatan masyarakat) dalam pengelolaan lingkungan.</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Pelaksanaan program ini dilakukan secara terintegrasi dengan melibatkan berbagai stakeholder. Mulai dari tahapan penyusunan kriteria penilaian PROPER, pemilihan perusahaan, penentuan peringkat, sampai pada pengumuman peringkat kinerja kepada publik.</w:t>
      </w: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2115"/>
        <w:gridCol w:w="4772"/>
      </w:tblGrid>
      <w:tr w:rsidR="00D10A00" w:rsidRPr="00D10A00" w:rsidTr="00D10A00">
        <w:trPr>
          <w:trHeight w:val="510"/>
          <w:tblCellSpacing w:w="15" w:type="dxa"/>
        </w:trPr>
        <w:tc>
          <w:tcPr>
            <w:tcW w:w="2385" w:type="dxa"/>
            <w:tcBorders>
              <w:top w:val="single"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before="100" w:beforeAutospacing="1" w:after="100" w:afterAutospacing="1"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lastRenderedPageBreak/>
              <w:t>Tujuan</w:t>
            </w:r>
          </w:p>
        </w:tc>
        <w:tc>
          <w:tcPr>
            <w:tcW w:w="5670"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rPr>
                <w:rFonts w:ascii="Arial" w:eastAsia="Times New Roman" w:hAnsi="Arial" w:cs="Arial"/>
                <w:color w:val="222222"/>
                <w:sz w:val="15"/>
                <w:szCs w:val="15"/>
                <w:lang w:eastAsia="id-ID"/>
              </w:rPr>
            </w:pP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8205"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382"/>
        <w:gridCol w:w="7823"/>
      </w:tblGrid>
      <w:tr w:rsidR="00D10A00" w:rsidRPr="00D10A00" w:rsidTr="00D10A00">
        <w:trPr>
          <w:tblCellSpacing w:w="15" w:type="dxa"/>
        </w:trPr>
        <w:tc>
          <w:tcPr>
            <w:tcW w:w="7620" w:type="dxa"/>
            <w:gridSpan w:val="2"/>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p>
        </w:tc>
      </w:tr>
      <w:tr w:rsidR="00D10A00" w:rsidRPr="00D10A00" w:rsidTr="00D10A00">
        <w:trPr>
          <w:tblCellSpacing w:w="15" w:type="dxa"/>
        </w:trPr>
        <w:tc>
          <w:tcPr>
            <w:tcW w:w="7620" w:type="dxa"/>
            <w:gridSpan w:val="2"/>
            <w:tcBorders>
              <w:top w:val="nil"/>
              <w:left w:val="nil"/>
              <w:bottom w:val="single" w:sz="4" w:space="0" w:color="D3D3D3"/>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Pelaksanaan PROPER bertujuan untuk:</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Meningkatkan penaatan perusahaan terhadap pengelolaan lingkungan.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Meningkatkan komitmen para stakeholder dalam upaya pelestarian lingkungan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Meningkatkan kinerja pengelolaan lingkungan secara berkelanjutan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Meningkatkan kesadaran para pelaku usaha untuk menaati peraturan perundang-undangan di bidang lingkungan hidup</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Mendorong penerapan prinsip Reduce, Reuse, Recycle, dan Recovery (4R) dalam pengelolaan limbah</w:t>
            </w: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2136"/>
        <w:gridCol w:w="4751"/>
      </w:tblGrid>
      <w:tr w:rsidR="00D10A00" w:rsidRPr="00D10A00" w:rsidTr="00D10A00">
        <w:trPr>
          <w:trHeight w:val="450"/>
          <w:tblCellSpacing w:w="15" w:type="dxa"/>
        </w:trPr>
        <w:tc>
          <w:tcPr>
            <w:tcW w:w="2400" w:type="dxa"/>
            <w:tcBorders>
              <w:top w:val="dotted" w:sz="4" w:space="0" w:color="D3D3D3"/>
              <w:left w:val="dotted" w:sz="4" w:space="0" w:color="D3D3D3"/>
              <w:bottom w:val="dotted" w:sz="4" w:space="0" w:color="D3D3D3"/>
              <w:right w:val="nil"/>
            </w:tcBorders>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c>
          <w:tcPr>
            <w:tcW w:w="5655" w:type="dxa"/>
            <w:tcBorders>
              <w:top w:val="nil"/>
              <w:left w:val="nil"/>
              <w:bottom w:val="nil"/>
              <w:right w:val="nil"/>
            </w:tcBorders>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r w:rsidR="00D10A00" w:rsidRPr="00D10A00" w:rsidTr="00D10A00">
        <w:trPr>
          <w:trHeight w:val="450"/>
          <w:tblCellSpacing w:w="15" w:type="dxa"/>
        </w:trPr>
        <w:tc>
          <w:tcPr>
            <w:tcW w:w="2400" w:type="dxa"/>
            <w:tcBorders>
              <w:top w:val="dotted"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t>Sasaran</w:t>
            </w:r>
          </w:p>
        </w:tc>
        <w:tc>
          <w:tcPr>
            <w:tcW w:w="5655"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8205"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382"/>
        <w:gridCol w:w="7823"/>
      </w:tblGrid>
      <w:tr w:rsidR="00D10A00" w:rsidRPr="00D10A00" w:rsidTr="00D10A00">
        <w:trPr>
          <w:tblCellSpacing w:w="15" w:type="dxa"/>
        </w:trPr>
        <w:tc>
          <w:tcPr>
            <w:tcW w:w="7620" w:type="dxa"/>
            <w:gridSpan w:val="2"/>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p>
        </w:tc>
      </w:tr>
      <w:tr w:rsidR="00D10A00" w:rsidRPr="00D10A00" w:rsidTr="00D10A00">
        <w:trPr>
          <w:tblCellSpacing w:w="15" w:type="dxa"/>
        </w:trPr>
        <w:tc>
          <w:tcPr>
            <w:tcW w:w="7620" w:type="dxa"/>
            <w:gridSpan w:val="2"/>
            <w:tcBorders>
              <w:top w:val="nil"/>
              <w:left w:val="nil"/>
              <w:bottom w:val="single" w:sz="4" w:space="0" w:color="D3D3D3"/>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Sasaran dari pelaksanaan PROPER adalah:</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Menciptakan lingkungan hidup yang baik</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Mewujudkan pembangunan berkelanjutan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Menciptakan ketahanan sumber daya alam</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Mewujudkan iklim dunia usaha yang kondusif dan ramah lingkungan, yang mengedepankan prinsip produksi bersih atau eco-efficiency</w:t>
            </w:r>
          </w:p>
        </w:tc>
      </w:tr>
    </w:tbl>
    <w:p w:rsidR="00D10A00" w:rsidRPr="00D10A00" w:rsidRDefault="00D10A00" w:rsidP="00D10A00">
      <w:pPr>
        <w:spacing w:before="100" w:beforeAutospacing="1" w:after="24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PROPER: Pengawasan Penaatan dari Media Tunggal ke Multi Media</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Pada awalnya pelaksanaan PROPER difokuskan pada penilaian peringkat kinerja penaatan perusahaan terhadap pengendalian pencemaran air dari perusahaan yang masuk dalam Program Kali Bersih (PROKASIH). Penilaian kinerja penaatan untuk media tunggal (pengendalian pencemaran air) ini relatif mudah dilakukan, waktu yang dibutuhkan lebih singkat, dan biaya yang dibutuhkan juga relatif lebih murah. Namun informasi kinerja penaatan perusahaan media tunggal yang disampaikan kepada masyarakat belum mencerminkan kinerja pengelolaan lingkungan perusahaan secara keseluruhan. Hal ini terkadang membingungkan masyarakat. Perusahaan dapat dikategorikan peringkat Hijau atau Biru dalam PROPER PROKASIH, padahal perusahaan tersebut belum melakukan pengelolaan limbah bahan berbahaya dan beracun (B3) dan pengendalian pencemaran udara dengan baik.</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Karena kurang kondusifnya situasi di Tanah Air akibat krisis ekonomi dan politik dalam kurun waktu 1998 – 2001, pelaksanaan PROPER pernah terhenti. Guna memberikan gambaran kinerja penaatan perusahaan lebih menyeluruh, maka sejak tahun 2002 aspek penilaian kinerja penaatan dalam PROPER diperluas. Kinerja penaatan yang dinilai dalam PROPER mencakup: penaatan terhadap pengendalian pencemaran air, udara, pengelolaan limbah B3, dan penerapan AMDAL (Analisis Mengenai Dampak Lingkungan). Sedangkan penilaian untuk aspek upaya lebih dari taat, meliputi penerapan sistem manajemen lingkungan, pemanfaatan limbah dan konservasi sumber daya, dan pelaksanaan kegiatan pengembangan masyarakat (commmunity development). Penilaian ini dapat mengukur penerapan CSR (Corporate Social Responsibility).</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Keuntungan dari pelaksanaan PROPER multi media adalah berkurangnya overlapping kegiatan pemantauan yang dilakukan oleh masing-masing instansi dan bagian yang bertanggung jawab untuk pengendalian pencemaran masing-masing media. Di samping itu, pelaksanaan PROPER multi media memberikan gambaran kinerja pengelolaan lingkungan yang lebih lengkap. Akan tetapi pelaksanaan PROPER multi-media ini lebih rumit dibandingkan dengan PROPER media tunggal. Pengumpulan data lapangan dan analisa peringkat membutuhkan petugas yang lebih berpengalaman, waktu yang lebih lama, dan biaya yang lebih besar.</w:t>
      </w:r>
    </w:p>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808000"/>
          <w:sz w:val="36"/>
          <w:szCs w:val="36"/>
          <w:lang w:eastAsia="id-ID"/>
        </w:rPr>
        <w:lastRenderedPageBreak/>
        <w:t>Tolok ukur keberhasilan</w:t>
      </w: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2104"/>
        <w:gridCol w:w="4783"/>
      </w:tblGrid>
      <w:tr w:rsidR="00D10A00" w:rsidRPr="00D10A00" w:rsidTr="00D10A00">
        <w:trPr>
          <w:trHeight w:val="450"/>
          <w:tblCellSpacing w:w="15" w:type="dxa"/>
        </w:trPr>
        <w:tc>
          <w:tcPr>
            <w:tcW w:w="2370" w:type="dxa"/>
            <w:tcBorders>
              <w:top w:val="single"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t>Faktor kunci</w:t>
            </w:r>
          </w:p>
        </w:tc>
        <w:tc>
          <w:tcPr>
            <w:tcW w:w="5655"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Kunci keberhasilan pelaksanaan PROPER sangat bergantung pada peran aktif para stakeholder dalam menyikapi hasil peringkat kinerja masing-masing perusahaan. Peran aktif stakeholder ini sangat dipengaruhi oleh tiga aspek, yaitu kredibilitas lembaga pelaksana, efektivitas strategi komunikasi yang diterapkan, dan sinergisitas PROPER dengan program penaatan lainnya.</w:t>
      </w: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6314"/>
        <w:gridCol w:w="573"/>
      </w:tblGrid>
      <w:tr w:rsidR="00D10A00" w:rsidRPr="00D10A00" w:rsidTr="00D10A00">
        <w:trPr>
          <w:trHeight w:val="450"/>
          <w:tblCellSpacing w:w="15" w:type="dxa"/>
        </w:trPr>
        <w:tc>
          <w:tcPr>
            <w:tcW w:w="7395" w:type="dxa"/>
            <w:tcBorders>
              <w:top w:val="single"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t>Kredibilitas Lembaga Pelaksana (Dewan Pertimbangan PROPER)</w:t>
            </w:r>
          </w:p>
        </w:tc>
        <w:tc>
          <w:tcPr>
            <w:tcW w:w="630"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Kredibilitas lembaga pelaksana sangat menentukan tingkat kepercayaan para stakeholder terhadap informasi peringkat kinerja perusahaan yang disampaikan kepada publik. Para stakeholder hanya akan percaya terhadap informasi yang dihasilkan oleh lembaga yang kredibel dan independen. Untuk menjamin kredibilitas, PROPER melibatkan tokoh-tokoh masyarakat dari berbagai elemen dalam Dewan Pertimbangan PROPER. Dewan Pertimbangan PROPER mewakili berbagai unsur, antara lain dari Perguruan Tinggi, LSM Lingkungan, LSM perlindungan konsumen, media massa, perbankan, dan lembaga internasional.</w:t>
      </w:r>
    </w:p>
    <w:tbl>
      <w:tblPr>
        <w:tblW w:w="9016"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417"/>
        <w:gridCol w:w="8599"/>
      </w:tblGrid>
      <w:tr w:rsidR="00D10A00" w:rsidRPr="00D10A00" w:rsidTr="00D10A00">
        <w:trPr>
          <w:tblCellSpacing w:w="15" w:type="dxa"/>
        </w:trPr>
        <w:tc>
          <w:tcPr>
            <w:tcW w:w="7560" w:type="dxa"/>
            <w:gridSpan w:val="2"/>
            <w:tcBorders>
              <w:top w:val="dotted" w:sz="4" w:space="0" w:color="D3D3D3"/>
              <w:left w:val="nil"/>
              <w:bottom w:val="single" w:sz="4" w:space="0" w:color="D3D3D3"/>
              <w:right w:val="nil"/>
            </w:tcBorders>
            <w:hideMark/>
          </w:tcPr>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Sesuai dengan Surat Keputusan Menteri Negara Lingkungan Hidup No. 97 Tahun 2005 tentang Dewan Pertimbangan PROPER, tugas dan fungsi Dewan Pertimbangan PROPER adalah:</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Melakukan verifikasi terhadap peringkat penilaian kinerja perusahaan yang telah dinilai oleh Tim Teknis PROPER</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Melaporkan hasil verifikasi penilaian peringkat kinerja perusahaan kepada Menteri Negara Lingkungan Hidup sebagai bahan pertimbangan dalam penetapan kinerja perusahaan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Melaksanakan tugas-tugas lain yang berkaitan dengan PROPER atas petunjuk Menteri Negara Lingkungan Hidup</w:t>
            </w:r>
          </w:p>
        </w:tc>
      </w:tr>
    </w:tbl>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Upaya lain yang dilakukan untuk menjamin kredibilitas pelaksanaan PROPER, kegiatan PROPER sepenuhnya dibiayai oleh Kementerian Negara Lingkungan Hidup.</w:t>
      </w: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3912"/>
        <w:gridCol w:w="2975"/>
      </w:tblGrid>
      <w:tr w:rsidR="00D10A00" w:rsidRPr="00D10A00" w:rsidTr="00D10A00">
        <w:trPr>
          <w:trHeight w:val="450"/>
          <w:tblCellSpacing w:w="15" w:type="dxa"/>
        </w:trPr>
        <w:tc>
          <w:tcPr>
            <w:tcW w:w="4500" w:type="dxa"/>
            <w:tcBorders>
              <w:top w:val="single"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t> Strategi Komunikasi yang Efektif</w:t>
            </w:r>
          </w:p>
        </w:tc>
        <w:tc>
          <w:tcPr>
            <w:tcW w:w="3525"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Dengan strategi komunikasi yang tepat, diharapkan penyebaran informasi PROPER kepada stakeholder dapat berjalan lebih efektif. Para stakeholder akan lebih mudah untuk menyikapi peringkat kinerja masing-masing perusahaan dan memahami PROPER secara keseluruhan. Salah satu langkah strategis yang dilakukan oleh Kementerian Lingkungan Hidup agar penyampaian informasi PROPER kepada publik dan para stakeholder lainnya lebih efektif adalah melalui aliansi strategis dengan berbagai media massa.</w:t>
      </w:r>
      <w:r w:rsidRPr="00D10A00">
        <w:rPr>
          <w:rFonts w:ascii="Tahoma" w:eastAsia="Times New Roman" w:hAnsi="Tahoma" w:cs="Tahoma"/>
          <w:color w:val="222222"/>
          <w:sz w:val="20"/>
          <w:szCs w:val="20"/>
          <w:lang w:eastAsia="id-ID"/>
        </w:rPr>
        <w:br/>
      </w:r>
      <w:r w:rsidRPr="00D10A00">
        <w:rPr>
          <w:rFonts w:ascii="Tahoma" w:eastAsia="Times New Roman" w:hAnsi="Tahoma" w:cs="Tahoma"/>
          <w:color w:val="222222"/>
          <w:sz w:val="20"/>
          <w:szCs w:val="20"/>
          <w:lang w:eastAsia="id-ID"/>
        </w:rPr>
        <w:br/>
        <w:t>Selain itu, beberapa langkah komunikasi yang telah dilakukan oleh Kementerian Lingkungan Hidup, baik dalam bentuk below the line, maupun above the line antara lain, sosialiasi dengan pemerintah daerah, perusahaan, perbankan, dan penyerahan penghargaan PROPER kepada perusahaan yang berperingkat Hijau melalui acara Malam Anugerah Lingkungan.</w:t>
      </w: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4500"/>
        <w:gridCol w:w="2387"/>
      </w:tblGrid>
      <w:tr w:rsidR="00D10A00" w:rsidRPr="00D10A00" w:rsidTr="00D10A00">
        <w:trPr>
          <w:trHeight w:val="450"/>
          <w:tblCellSpacing w:w="15" w:type="dxa"/>
        </w:trPr>
        <w:tc>
          <w:tcPr>
            <w:tcW w:w="5220" w:type="dxa"/>
            <w:tcBorders>
              <w:top w:val="single" w:sz="4" w:space="0" w:color="D3D3D3"/>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15"/>
                <w:szCs w:val="15"/>
                <w:lang w:eastAsia="id-ID"/>
              </w:rPr>
              <w:t>Sinergi dengan Program Penaatan Lainnya</w:t>
            </w:r>
          </w:p>
        </w:tc>
        <w:tc>
          <w:tcPr>
            <w:tcW w:w="2805"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9016"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417"/>
        <w:gridCol w:w="8599"/>
      </w:tblGrid>
      <w:tr w:rsidR="00D10A00" w:rsidRPr="00D10A00" w:rsidTr="00D10A00">
        <w:trPr>
          <w:tblCellSpacing w:w="15" w:type="dxa"/>
        </w:trPr>
        <w:tc>
          <w:tcPr>
            <w:tcW w:w="7560" w:type="dxa"/>
            <w:gridSpan w:val="2"/>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r w:rsidR="00D10A00" w:rsidRPr="00D10A00" w:rsidTr="00D10A00">
        <w:trPr>
          <w:tblCellSpacing w:w="15" w:type="dxa"/>
        </w:trPr>
        <w:tc>
          <w:tcPr>
            <w:tcW w:w="7560" w:type="dxa"/>
            <w:gridSpan w:val="2"/>
            <w:tcBorders>
              <w:top w:val="dotted" w:sz="4" w:space="0" w:color="D3D3D3"/>
              <w:left w:val="nil"/>
              <w:bottom w:val="single" w:sz="4" w:space="0" w:color="D3D3D3"/>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Untuk mendorong efektivitas PROPER sebagai instrumen penaatan lingkungan, pelaksanaan PROPER telah disinergikan dengan beberapa program, antara lain:</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lastRenderedPageBreak/>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Perusahaan yang berperingkat Hitam dua kali dan belum menunjukkan kemajuan berarti dalam pengelolaan lingkungan akan ditindaklanjuti dengan penegakan hukum lingkungan.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Bank Indonesia telah mensyaratkan pihak perbankan untuk menggunakan PROPER sebagai salah satu acuan dalam penentuan kualitas aktiva bagi debitur. Kebijakan dilakukan melalui penerbitan Peraturan Bank Indonesia Nomor: 7/2/2005 tentang Penilaian Kualitas Aktiva bagi Bank Umum. Tindak lanjut dari peraturan ini adalah diterbitkannya Surat Edaran Bank Indonesia No. 7/3/DNPP tahun 2005 tentang Penilaian Kualitas Aktiva Bank Umum. Langkah ini dilakukan untuk mewujudkan peran aktif perbankan nasional dalam melestarikan lingkungan hidup, sekaligus meminimalisasi resiko lingkungan terhadap perbankan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Bagi perusahaan yang memerlukan dana untuk melakukan investasi di bidang pengelolaan lingkungan hidup, Kementerian Negara Lingkungan Hidup menyediakan fasilitas Pinjaman Lunak Lingkungan dan rekomendasi pembebasan bea masuk untuk peralatan pengendalian dan pencegahan pencemaran.</w:t>
            </w:r>
          </w:p>
        </w:tc>
      </w:tr>
    </w:tbl>
    <w:p w:rsidR="00D10A00" w:rsidRPr="00D10A00" w:rsidRDefault="00D10A00" w:rsidP="00D10A00">
      <w:pPr>
        <w:spacing w:before="100" w:beforeAutospacing="1" w:after="100" w:afterAutospacing="1" w:line="240" w:lineRule="auto"/>
        <w:jc w:val="center"/>
        <w:rPr>
          <w:rFonts w:ascii="Arial" w:eastAsia="Times New Roman" w:hAnsi="Arial" w:cs="Arial"/>
          <w:color w:val="222222"/>
          <w:sz w:val="15"/>
          <w:szCs w:val="15"/>
          <w:lang w:eastAsia="id-ID"/>
        </w:rPr>
      </w:pPr>
    </w:p>
    <w:p w:rsidR="00D10A00" w:rsidRPr="00D10A00" w:rsidRDefault="00D10A00" w:rsidP="00D10A00">
      <w:pPr>
        <w:spacing w:before="100" w:beforeAutospacing="1" w:after="100" w:afterAutospacing="1" w:line="240" w:lineRule="auto"/>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Kriteria Komponen Lingkungan dalam Penilaian Kualitas Aktiva bagi Bank Umum</w:t>
      </w:r>
      <w:r w:rsidRPr="00D10A00">
        <w:rPr>
          <w:rFonts w:ascii="Tahoma" w:eastAsia="Times New Roman" w:hAnsi="Tahoma" w:cs="Tahoma"/>
          <w:color w:val="222222"/>
          <w:sz w:val="20"/>
          <w:lang w:eastAsia="id-ID"/>
        </w:rPr>
        <w:t> </w:t>
      </w:r>
      <w:r w:rsidRPr="00D10A00">
        <w:rPr>
          <w:rFonts w:ascii="Tahoma" w:eastAsia="Times New Roman" w:hAnsi="Tahoma" w:cs="Tahoma"/>
          <w:color w:val="222222"/>
          <w:sz w:val="20"/>
          <w:szCs w:val="20"/>
          <w:lang w:eastAsia="id-ID"/>
        </w:rPr>
        <w:t>Berdasarkan Surat Edaran Bank Indonesia No. 7/3/DPNP Tanggal 31 Januari 2005 mengenai Penilaian Kualitas Aktiva Bank Umum Penetapan Kualitas Kredit</w:t>
      </w:r>
    </w:p>
    <w:tbl>
      <w:tblPr>
        <w:tblW w:w="6887" w:type="dxa"/>
        <w:tblCellMar>
          <w:left w:w="0" w:type="dxa"/>
          <w:right w:w="0" w:type="dxa"/>
        </w:tblCellMar>
        <w:tblLook w:val="04A0"/>
      </w:tblPr>
      <w:tblGrid>
        <w:gridCol w:w="1248"/>
        <w:gridCol w:w="1377"/>
        <w:gridCol w:w="1377"/>
        <w:gridCol w:w="1597"/>
        <w:gridCol w:w="1511"/>
        <w:gridCol w:w="1467"/>
      </w:tblGrid>
      <w:tr w:rsidR="00D10A00" w:rsidRPr="00D10A00" w:rsidTr="00D10A00">
        <w:tc>
          <w:tcPr>
            <w:tcW w:w="8856" w:type="dxa"/>
            <w:gridSpan w:val="6"/>
            <w:tcBorders>
              <w:top w:val="single" w:sz="8" w:space="0" w:color="C0C0C0"/>
              <w:left w:val="single" w:sz="8" w:space="0" w:color="C0C0C0"/>
              <w:bottom w:val="single" w:sz="8" w:space="0" w:color="C0C0C0"/>
              <w:right w:val="single" w:sz="8" w:space="0" w:color="C0C0C0"/>
            </w:tcBorders>
            <w:shd w:val="clear" w:color="auto" w:fill="008000"/>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 Prospek Usaha</w:t>
            </w:r>
          </w:p>
        </w:tc>
      </w:tr>
      <w:tr w:rsidR="00D10A00" w:rsidRPr="00D10A00" w:rsidTr="00D10A00">
        <w:trPr>
          <w:trHeight w:val="601"/>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Komponen</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Lancar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Dalam Perhatian Khusus</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Kurang Lancar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Diragukan</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color w:val="222222"/>
                <w:sz w:val="20"/>
                <w:szCs w:val="20"/>
                <w:lang w:eastAsia="id-ID"/>
              </w:rPr>
              <w:t>Macet</w:t>
            </w:r>
          </w:p>
        </w:tc>
      </w:tr>
      <w:tr w:rsidR="00D10A00" w:rsidRPr="00D10A00" w:rsidTr="00D10A00">
        <w:tc>
          <w:tcPr>
            <w:tcW w:w="1476"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Upaya yang dilakukan debitur dalam rangka memelihara lingkungan hidup (bagi debitur berskala besar yang memiliki dampak penting terhadap lingkungan hidup).</w:t>
            </w:r>
          </w:p>
        </w:tc>
        <w:tc>
          <w:tcPr>
            <w:tcW w:w="1476"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Upaya pengelolaan lingkungan hidup baik dan mencapai hasil yang sekurang-kurangnya sesuai dengan persyaratan minimum yang ditentukan sebagaimana diatur dalam peraturan perundang-undangan</w:t>
            </w:r>
          </w:p>
        </w:tc>
        <w:tc>
          <w:tcPr>
            <w:tcW w:w="1476"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Upaya pengelolaan lingkungan hidup kurang baik dan belum mencapai persyaratan minimum yang ditentukan sebagaimana diatur dalam peraturan perundang-undangan.</w:t>
            </w:r>
          </w:p>
        </w:tc>
        <w:tc>
          <w:tcPr>
            <w:tcW w:w="1476"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Upaya pengelolaan lingkungan hidup kurang baik dan belum mencapai persyaratan minimum yang ditentukan sebagaimana diatur dalam peraturan perundang-undangan, dengan penyimpangan cukup material.</w:t>
            </w:r>
          </w:p>
        </w:tc>
        <w:tc>
          <w:tcPr>
            <w:tcW w:w="1476"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Perusahaan belum melaksanakan upaya pengelolaan lingkungan hidup yang berarti atau telah dilakukan upaya pengelolaan namun belum mencapai persyaratan yang ditentukan sebagaimana diatur dalam peraturan perundang-undangan dengan penyimpangan material.</w:t>
            </w:r>
          </w:p>
        </w:tc>
        <w:tc>
          <w:tcPr>
            <w:tcW w:w="1476"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jc w:val="both"/>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Perusahaan belum melaksanakan upaya pengelolaan lingkungan hidup yang berarti atau telah dilakukan upaya pengelolaan namun belum mencapai persyaratan minimum yang ditentukan sebagaimana diatur dalam peraturan perundang-undangan, dan memiliki kemungkinan untuk dituntut di pengadilan.</w:t>
            </w:r>
          </w:p>
        </w:tc>
      </w:tr>
      <w:tr w:rsidR="00D10A00" w:rsidRPr="00D10A00" w:rsidTr="00D10A00">
        <w:trPr>
          <w:trHeight w:val="1466"/>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lastRenderedPageBreak/>
              <w:t>Kriteria PROPER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Emas, Hijau, Biru</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Merah</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&gt; 1 kali berturut-turut mendapatkan peringkat Merah</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Hitam</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2 kali berturut-turut mendapat hitam.</w:t>
            </w: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6887"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2743"/>
        <w:gridCol w:w="4144"/>
      </w:tblGrid>
      <w:tr w:rsidR="00D10A00" w:rsidRPr="00D10A00" w:rsidTr="00D10A00">
        <w:trPr>
          <w:trHeight w:val="450"/>
          <w:tblCellSpacing w:w="15" w:type="dxa"/>
        </w:trPr>
        <w:tc>
          <w:tcPr>
            <w:tcW w:w="3000" w:type="dxa"/>
            <w:tcBorders>
              <w:top w:val="nil"/>
              <w:left w:val="nil"/>
              <w:bottom w:val="nil"/>
              <w:right w:val="nil"/>
            </w:tcBorders>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c>
          <w:tcPr>
            <w:tcW w:w="5025" w:type="dxa"/>
            <w:tcBorders>
              <w:top w:val="nil"/>
              <w:left w:val="nil"/>
              <w:bottom w:val="nil"/>
              <w:right w:val="nil"/>
            </w:tcBorders>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r w:rsidR="00D10A00" w:rsidRPr="00D10A00" w:rsidTr="00D10A00">
        <w:trPr>
          <w:trHeight w:val="450"/>
          <w:tblCellSpacing w:w="15" w:type="dxa"/>
        </w:trPr>
        <w:tc>
          <w:tcPr>
            <w:tcW w:w="3000" w:type="dxa"/>
            <w:tcBorders>
              <w:top w:val="nil"/>
              <w:left w:val="single" w:sz="4" w:space="0" w:color="D3D3D3"/>
              <w:bottom w:val="single" w:sz="4" w:space="0" w:color="D3D3D3"/>
              <w:right w:val="single" w:sz="4" w:space="0" w:color="D3D3D3"/>
            </w:tcBorders>
            <w:shd w:val="clear" w:color="auto" w:fill="80800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FFFFFF"/>
                <w:sz w:val="24"/>
                <w:szCs w:val="24"/>
                <w:lang w:eastAsia="id-ID"/>
              </w:rPr>
              <w:t>Indikator keberhasilan</w:t>
            </w:r>
          </w:p>
        </w:tc>
        <w:tc>
          <w:tcPr>
            <w:tcW w:w="5025" w:type="dxa"/>
            <w:tcBorders>
              <w:top w:val="nil"/>
              <w:left w:val="dotted" w:sz="4" w:space="0" w:color="D3D3D3"/>
              <w:bottom w:val="nil"/>
              <w:right w:val="nil"/>
            </w:tcBorders>
            <w:shd w:val="clear" w:color="auto" w:fill="C0C0C0"/>
            <w:vAlign w:val="center"/>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bl>
    <w:p w:rsidR="00D10A00" w:rsidRPr="00D10A00" w:rsidRDefault="00D10A00" w:rsidP="00D10A00">
      <w:pPr>
        <w:spacing w:after="0" w:line="240" w:lineRule="auto"/>
        <w:rPr>
          <w:rFonts w:ascii="Times New Roman" w:eastAsia="Times New Roman" w:hAnsi="Times New Roman" w:cs="Times New Roman"/>
          <w:vanish/>
          <w:sz w:val="24"/>
          <w:szCs w:val="24"/>
          <w:lang w:eastAsia="id-ID"/>
        </w:rPr>
      </w:pPr>
    </w:p>
    <w:tbl>
      <w:tblPr>
        <w:tblW w:w="9016" w:type="dxa"/>
        <w:tblCellSpacing w:w="15" w:type="dxa"/>
        <w:tblBorders>
          <w:top w:val="dotted" w:sz="2" w:space="0" w:color="D3D3D3"/>
          <w:left w:val="dotted" w:sz="2" w:space="0" w:color="D3D3D3"/>
          <w:bottom w:val="dotted" w:sz="2" w:space="0" w:color="D3D3D3"/>
          <w:right w:val="dotted" w:sz="2" w:space="0" w:color="D3D3D3"/>
        </w:tblBorders>
        <w:tblCellMar>
          <w:top w:w="15" w:type="dxa"/>
          <w:left w:w="15" w:type="dxa"/>
          <w:bottom w:w="15" w:type="dxa"/>
          <w:right w:w="15" w:type="dxa"/>
        </w:tblCellMar>
        <w:tblLook w:val="04A0"/>
      </w:tblPr>
      <w:tblGrid>
        <w:gridCol w:w="417"/>
        <w:gridCol w:w="8599"/>
      </w:tblGrid>
      <w:tr w:rsidR="00D10A00" w:rsidRPr="00D10A00" w:rsidTr="00D10A00">
        <w:trPr>
          <w:tblCellSpacing w:w="15" w:type="dxa"/>
        </w:trPr>
        <w:tc>
          <w:tcPr>
            <w:tcW w:w="7560" w:type="dxa"/>
            <w:gridSpan w:val="2"/>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p>
        </w:tc>
      </w:tr>
      <w:tr w:rsidR="00D10A00" w:rsidRPr="00D10A00" w:rsidTr="00D10A00">
        <w:trPr>
          <w:tblCellSpacing w:w="15" w:type="dxa"/>
        </w:trPr>
        <w:tc>
          <w:tcPr>
            <w:tcW w:w="7560" w:type="dxa"/>
            <w:gridSpan w:val="2"/>
            <w:tcBorders>
              <w:top w:val="dotted" w:sz="4" w:space="0" w:color="D3D3D3"/>
              <w:left w:val="nil"/>
              <w:bottom w:val="single" w:sz="4" w:space="0" w:color="D3D3D3"/>
              <w:right w:val="nil"/>
            </w:tcBorders>
            <w:hideMark/>
          </w:tcPr>
          <w:p w:rsidR="00D10A00" w:rsidRPr="00D10A00" w:rsidRDefault="00D10A00" w:rsidP="00D10A00">
            <w:pPr>
              <w:spacing w:before="100" w:beforeAutospacing="1" w:after="100" w:afterAutospacing="1"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Keberhasilan PROPER sebagai instrumen penaatan dapat dilihat dari indikator berikut:</w:t>
            </w:r>
          </w:p>
        </w:tc>
      </w:tr>
      <w:tr w:rsidR="00D10A00" w:rsidRPr="00D10A00" w:rsidTr="00D10A00">
        <w:trPr>
          <w:tblCellSpacing w:w="15" w:type="dxa"/>
        </w:trPr>
        <w:tc>
          <w:tcPr>
            <w:tcW w:w="315" w:type="dxa"/>
            <w:tcBorders>
              <w:top w:val="nil"/>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nil"/>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Meningkatnya tingkat penaaatan perusahaan.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Menurunnya beban pencemaran yang masuk ke lingkungan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Menurunnya tingkat pencemaran dan kerusakan lingkungan</w:t>
            </w:r>
          </w:p>
        </w:tc>
      </w:tr>
      <w:tr w:rsidR="00D10A00" w:rsidRPr="00D10A00" w:rsidTr="00D10A00">
        <w:trPr>
          <w:tblCellSpacing w:w="15" w:type="dxa"/>
        </w:trPr>
        <w:tc>
          <w:tcPr>
            <w:tcW w:w="315" w:type="dxa"/>
            <w:tcBorders>
              <w:top w:val="dotted" w:sz="4" w:space="0" w:color="D3D3D3"/>
              <w:left w:val="nil"/>
              <w:bottom w:val="nil"/>
              <w:right w:val="nil"/>
            </w:tcBorders>
            <w:hideMark/>
          </w:tcPr>
          <w:p w:rsidR="00D10A00" w:rsidRPr="00D10A00" w:rsidRDefault="00D10A00" w:rsidP="00D10A00">
            <w:pPr>
              <w:spacing w:after="0" w:line="240" w:lineRule="auto"/>
              <w:jc w:val="center"/>
              <w:rPr>
                <w:rFonts w:ascii="Arial" w:eastAsia="Times New Roman" w:hAnsi="Arial" w:cs="Arial"/>
                <w:color w:val="222222"/>
                <w:sz w:val="15"/>
                <w:szCs w:val="15"/>
                <w:lang w:eastAsia="id-ID"/>
              </w:rPr>
            </w:pPr>
            <w:r w:rsidRPr="00D10A00">
              <w:rPr>
                <w:rFonts w:ascii="Arial" w:eastAsia="Times New Roman" w:hAnsi="Arial" w:cs="Arial"/>
                <w:color w:val="222222"/>
                <w:sz w:val="15"/>
                <w:szCs w:val="15"/>
                <w:lang w:eastAsia="id-ID"/>
              </w:rPr>
              <w:t>-</w:t>
            </w:r>
          </w:p>
        </w:tc>
        <w:tc>
          <w:tcPr>
            <w:tcW w:w="7245" w:type="dxa"/>
            <w:tcBorders>
              <w:top w:val="dotted" w:sz="4" w:space="0" w:color="D3D3D3"/>
              <w:left w:val="nil"/>
              <w:bottom w:val="nil"/>
              <w:right w:val="nil"/>
            </w:tcBorders>
            <w:hideMark/>
          </w:tcPr>
          <w:p w:rsidR="00D10A00" w:rsidRPr="00D10A00" w:rsidRDefault="00D10A00" w:rsidP="00D10A00">
            <w:pPr>
              <w:spacing w:after="0" w:line="240" w:lineRule="auto"/>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Meningkatnya kepercayaan stakeholder terhadap hasil penilaian</w:t>
            </w:r>
          </w:p>
        </w:tc>
      </w:tr>
    </w:tbl>
    <w:p w:rsidR="00D10A00" w:rsidRPr="00D10A00" w:rsidRDefault="00D10A00" w:rsidP="00D10A00">
      <w:pPr>
        <w:spacing w:after="0" w:line="240" w:lineRule="auto"/>
        <w:ind w:left="360" w:right="-1440" w:hanging="360"/>
        <w:jc w:val="both"/>
        <w:rPr>
          <w:rFonts w:ascii="Arial" w:eastAsia="Times New Roman" w:hAnsi="Arial" w:cs="Arial"/>
          <w:color w:val="222222"/>
          <w:sz w:val="15"/>
          <w:szCs w:val="15"/>
          <w:lang w:eastAsia="id-ID"/>
        </w:rPr>
      </w:pPr>
    </w:p>
    <w:p w:rsidR="00D10A00" w:rsidRPr="00D10A00" w:rsidRDefault="00D10A00" w:rsidP="00D10A00">
      <w:pPr>
        <w:spacing w:after="0" w:line="240" w:lineRule="auto"/>
        <w:ind w:left="360" w:right="-1440" w:hanging="360"/>
        <w:jc w:val="both"/>
        <w:rPr>
          <w:rFonts w:ascii="Arial" w:eastAsia="Times New Roman" w:hAnsi="Arial" w:cs="Arial"/>
          <w:color w:val="222222"/>
          <w:sz w:val="15"/>
          <w:szCs w:val="15"/>
          <w:lang w:eastAsia="id-ID"/>
        </w:rPr>
      </w:pPr>
    </w:p>
    <w:p w:rsidR="00D10A00" w:rsidRPr="00D10A00" w:rsidRDefault="00D10A00" w:rsidP="00D10A00">
      <w:pPr>
        <w:spacing w:after="0" w:line="240" w:lineRule="auto"/>
        <w:ind w:left="360" w:right="-1440" w:hanging="360"/>
        <w:jc w:val="both"/>
        <w:rPr>
          <w:rFonts w:ascii="Arial" w:eastAsia="Times New Roman" w:hAnsi="Arial" w:cs="Arial"/>
          <w:color w:val="222222"/>
          <w:sz w:val="15"/>
          <w:szCs w:val="15"/>
          <w:lang w:eastAsia="id-ID"/>
        </w:rPr>
      </w:pPr>
      <w:r w:rsidRPr="00D10A00">
        <w:rPr>
          <w:rFonts w:ascii="Tahoma" w:eastAsia="Times New Roman" w:hAnsi="Tahoma" w:cs="Tahoma"/>
          <w:b/>
          <w:bCs/>
          <w:color w:val="808000"/>
          <w:sz w:val="27"/>
          <w:szCs w:val="27"/>
          <w:lang w:eastAsia="id-ID"/>
        </w:rPr>
        <w:t>Manfaat PROPER bagi</w:t>
      </w:r>
      <w:r w:rsidRPr="00D10A00">
        <w:rPr>
          <w:rFonts w:ascii="Tahoma" w:eastAsia="Times New Roman" w:hAnsi="Tahoma" w:cs="Tahoma"/>
          <w:b/>
          <w:bCs/>
          <w:color w:val="808000"/>
          <w:sz w:val="27"/>
          <w:lang w:eastAsia="id-ID"/>
        </w:rPr>
        <w:t> </w:t>
      </w:r>
      <w:r w:rsidRPr="00D10A00">
        <w:rPr>
          <w:rFonts w:ascii="Tahoma" w:eastAsia="Times New Roman" w:hAnsi="Tahoma" w:cs="Tahoma"/>
          <w:b/>
          <w:bCs/>
          <w:i/>
          <w:iCs/>
          <w:color w:val="808000"/>
          <w:sz w:val="27"/>
          <w:szCs w:val="27"/>
          <w:lang w:eastAsia="id-ID"/>
        </w:rPr>
        <w:t>Stakeholder</w:t>
      </w:r>
    </w:p>
    <w:p w:rsidR="00D10A00" w:rsidRPr="00D10A00" w:rsidRDefault="00D10A00" w:rsidP="00D10A00">
      <w:pPr>
        <w:spacing w:after="0" w:line="240" w:lineRule="auto"/>
        <w:ind w:left="360" w:right="-1440"/>
        <w:jc w:val="both"/>
        <w:rPr>
          <w:rFonts w:ascii="Arial" w:eastAsia="Times New Roman" w:hAnsi="Arial" w:cs="Arial"/>
          <w:color w:val="222222"/>
          <w:sz w:val="15"/>
          <w:szCs w:val="15"/>
          <w:lang w:eastAsia="id-ID"/>
        </w:rPr>
      </w:pPr>
      <w:r w:rsidRPr="00D10A00">
        <w:rPr>
          <w:rFonts w:ascii="Tahoma" w:eastAsia="Times New Roman" w:hAnsi="Tahoma" w:cs="Tahoma"/>
          <w:b/>
          <w:bCs/>
          <w:color w:val="222222"/>
          <w:sz w:val="20"/>
          <w:szCs w:val="20"/>
          <w:lang w:eastAsia="id-ID"/>
        </w:rPr>
        <w:t> </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Beberapa manfaat PROPER, antara lain: waktu dan biaya yang dibutuhkan untuk mendorong penaatan perusahaan relatif lebih singkat dan murah dibandingkan instrumen penaatan lainnya, misalnya penegakan hukum lingkungan; dapat mendorong peran aktif para</w:t>
      </w:r>
      <w:r w:rsidRPr="00D10A00">
        <w:rPr>
          <w:rFonts w:ascii="Tahoma" w:eastAsia="Times New Roman" w:hAnsi="Tahoma" w:cs="Tahoma"/>
          <w:color w:val="222222"/>
          <w:sz w:val="20"/>
          <w:lang w:eastAsia="id-ID"/>
        </w:rPr>
        <w:t> </w:t>
      </w:r>
      <w:r w:rsidRPr="00D10A00">
        <w:rPr>
          <w:rFonts w:ascii="Tahoma" w:eastAsia="Times New Roman" w:hAnsi="Tahoma" w:cs="Tahoma"/>
          <w:i/>
          <w:iCs/>
          <w:color w:val="222222"/>
          <w:sz w:val="20"/>
          <w:szCs w:val="20"/>
          <w:lang w:eastAsia="id-ID"/>
        </w:rPr>
        <w:t>stakeholder</w:t>
      </w:r>
      <w:r w:rsidRPr="00D10A00">
        <w:rPr>
          <w:rFonts w:ascii="Tahoma" w:eastAsia="Times New Roman" w:hAnsi="Tahoma" w:cs="Tahoma"/>
          <w:color w:val="222222"/>
          <w:sz w:val="20"/>
          <w:lang w:eastAsia="id-ID"/>
        </w:rPr>
        <w:t> </w:t>
      </w:r>
      <w:r w:rsidRPr="00D10A00">
        <w:rPr>
          <w:rFonts w:ascii="Tahoma" w:eastAsia="Times New Roman" w:hAnsi="Tahoma" w:cs="Tahoma"/>
          <w:color w:val="222222"/>
          <w:sz w:val="20"/>
          <w:szCs w:val="20"/>
          <w:lang w:eastAsia="id-ID"/>
        </w:rPr>
        <w:t>dalam pengelolaan lingkungan; meningkatnya intensitas dan kualitas komunikasi antara para</w:t>
      </w:r>
      <w:r w:rsidRPr="00D10A00">
        <w:rPr>
          <w:rFonts w:ascii="Tahoma" w:eastAsia="Times New Roman" w:hAnsi="Tahoma" w:cs="Tahoma"/>
          <w:color w:val="222222"/>
          <w:sz w:val="20"/>
          <w:lang w:eastAsia="id-ID"/>
        </w:rPr>
        <w:t> </w:t>
      </w:r>
      <w:r w:rsidRPr="00D10A00">
        <w:rPr>
          <w:rFonts w:ascii="Tahoma" w:eastAsia="Times New Roman" w:hAnsi="Tahoma" w:cs="Tahoma"/>
          <w:i/>
          <w:iCs/>
          <w:color w:val="222222"/>
          <w:sz w:val="20"/>
          <w:szCs w:val="20"/>
          <w:lang w:eastAsia="id-ID"/>
        </w:rPr>
        <w:t>stakeholder</w:t>
      </w:r>
      <w:r w:rsidRPr="00D10A00">
        <w:rPr>
          <w:rFonts w:ascii="Tahoma" w:eastAsia="Times New Roman" w:hAnsi="Tahoma" w:cs="Tahoma"/>
          <w:color w:val="222222"/>
          <w:sz w:val="20"/>
          <w:szCs w:val="20"/>
          <w:lang w:eastAsia="id-ID"/>
        </w:rPr>
        <w:t>; dan meningkatnya nilai tambah bagi perusahaan yang melakukan pengelolaan lingkungan lebih baik dari yang disyaratkan.</w:t>
      </w:r>
    </w:p>
    <w:p w:rsidR="00D10A00" w:rsidRPr="00D10A00" w:rsidRDefault="00D10A00" w:rsidP="00D10A00">
      <w:pPr>
        <w:spacing w:before="100" w:beforeAutospacing="1" w:after="100" w:afterAutospacing="1" w:line="240" w:lineRule="auto"/>
        <w:ind w:right="27"/>
        <w:jc w:val="both"/>
        <w:rPr>
          <w:rFonts w:ascii="Arial" w:eastAsia="Times New Roman" w:hAnsi="Arial" w:cs="Arial"/>
          <w:color w:val="222222"/>
          <w:sz w:val="15"/>
          <w:szCs w:val="15"/>
          <w:lang w:eastAsia="id-ID"/>
        </w:rPr>
      </w:pPr>
      <w:r w:rsidRPr="00D10A00">
        <w:rPr>
          <w:rFonts w:ascii="Tahoma" w:eastAsia="Times New Roman" w:hAnsi="Tahoma" w:cs="Tahoma"/>
          <w:b/>
          <w:bCs/>
          <w:color w:val="222222"/>
          <w:sz w:val="20"/>
          <w:szCs w:val="20"/>
          <w:lang w:eastAsia="id-ID"/>
        </w:rPr>
        <w:t> </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Bagi pemerintah, manfaat lain pelaksanaan PROPER adalah: PROPER dapat digunakan sebagai instrumen untuk mengukur kinerja pengelolaan lingkungan makro yang telah dilakukan di tingkat pusat maupun daerah. PROPER juga dapat menjadi pendorong untuk penerapan sistem basis data modern.</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 </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Sedangkan perusahaan pelaksanaan PROPER juga mendapatkan berbagai manfaat, seperti: perusahaan dapat menggunakan informasi peringkat PROPER sebagai</w:t>
      </w:r>
      <w:r w:rsidRPr="00D10A00">
        <w:rPr>
          <w:rFonts w:ascii="Tahoma" w:eastAsia="Times New Roman" w:hAnsi="Tahoma" w:cs="Tahoma"/>
          <w:color w:val="222222"/>
          <w:sz w:val="20"/>
          <w:lang w:eastAsia="id-ID"/>
        </w:rPr>
        <w:t> </w:t>
      </w:r>
      <w:r w:rsidRPr="00D10A00">
        <w:rPr>
          <w:rFonts w:ascii="Tahoma" w:eastAsia="Times New Roman" w:hAnsi="Tahoma" w:cs="Tahoma"/>
          <w:i/>
          <w:iCs/>
          <w:color w:val="222222"/>
          <w:sz w:val="20"/>
          <w:szCs w:val="20"/>
          <w:lang w:eastAsia="id-ID"/>
        </w:rPr>
        <w:t>benchmark</w:t>
      </w:r>
      <w:r w:rsidRPr="00D10A00">
        <w:rPr>
          <w:rFonts w:ascii="Tahoma" w:eastAsia="Times New Roman" w:hAnsi="Tahoma" w:cs="Tahoma"/>
          <w:color w:val="222222"/>
          <w:sz w:val="20"/>
          <w:lang w:eastAsia="id-ID"/>
        </w:rPr>
        <w:t> </w:t>
      </w:r>
      <w:r w:rsidRPr="00D10A00">
        <w:rPr>
          <w:rFonts w:ascii="Tahoma" w:eastAsia="Times New Roman" w:hAnsi="Tahoma" w:cs="Tahoma"/>
          <w:color w:val="222222"/>
          <w:sz w:val="20"/>
          <w:szCs w:val="20"/>
          <w:lang w:eastAsia="id-ID"/>
        </w:rPr>
        <w:t>untuk mengukur kinerja perusahaan. Sedangkan untuk perusahaan yang berperingkat Hijau atau Emas, PROPER dapat digunakan sebagai alat untuk mempromosikan perusahaan. PROPER dapat juga digunakan dalam mendorong perusahaan untuk melakukan upaya lebih dari taat, seperti melaksanakan konservasi sumber daya alam atau eco-efficiency.</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 </w:t>
      </w:r>
    </w:p>
    <w:p w:rsidR="00D10A00" w:rsidRPr="00D10A00" w:rsidRDefault="00D10A00" w:rsidP="00D10A00">
      <w:pPr>
        <w:spacing w:after="0" w:line="240" w:lineRule="auto"/>
        <w:ind w:left="360" w:right="27"/>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Para investor, konsultan, supplier, dan masyarakat, dapat menjadikan PROPER sebagai balai kliring untuk mengetahui kinerja penaatan perusahaan. PROPER dapat digunakan oleh investor untuk mengukur tingkat risiko investasi mereka. Konsultan dan supplier dapat memanfaatkan informasi kinerja penaatan perusahaan untuk melihat prospek peluang bisnis yang ada. Informasi PROPER dapat menunjukkan tingkat tanggung jawab perusahaan terhadap lingkungan bagi masyarakat di sekitar lokasi kegiatan perusahaan.  </w:t>
      </w:r>
    </w:p>
    <w:p w:rsidR="00D10A00" w:rsidRPr="00D10A00" w:rsidRDefault="00D10A00" w:rsidP="00D10A00">
      <w:pPr>
        <w:spacing w:before="100" w:beforeAutospacing="1" w:after="100" w:afterAutospacing="1" w:line="240" w:lineRule="auto"/>
        <w:ind w:left="360"/>
        <w:jc w:val="both"/>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 </w:t>
      </w:r>
    </w:p>
    <w:p w:rsidR="00D10A00" w:rsidRPr="00D10A00" w:rsidRDefault="00D10A00" w:rsidP="00D10A00">
      <w:pPr>
        <w:spacing w:before="100" w:beforeAutospacing="1" w:after="100" w:afterAutospacing="1" w:line="240" w:lineRule="auto"/>
        <w:jc w:val="center"/>
        <w:rPr>
          <w:rFonts w:ascii="Arial" w:eastAsia="Times New Roman" w:hAnsi="Arial" w:cs="Arial"/>
          <w:color w:val="222222"/>
          <w:sz w:val="15"/>
          <w:szCs w:val="15"/>
          <w:lang w:eastAsia="id-ID"/>
        </w:rPr>
      </w:pPr>
      <w:r w:rsidRPr="00D10A00">
        <w:rPr>
          <w:rFonts w:ascii="Tahoma" w:eastAsia="Times New Roman" w:hAnsi="Tahoma" w:cs="Tahoma"/>
          <w:color w:val="222222"/>
          <w:sz w:val="20"/>
          <w:szCs w:val="20"/>
          <w:lang w:eastAsia="id-ID"/>
        </w:rPr>
        <w:t>Manafaat PROPER bagi Stakeholder</w:t>
      </w:r>
    </w:p>
    <w:tbl>
      <w:tblPr>
        <w:tblW w:w="6887" w:type="dxa"/>
        <w:tblInd w:w="468" w:type="dxa"/>
        <w:tblCellMar>
          <w:left w:w="0" w:type="dxa"/>
          <w:right w:w="0" w:type="dxa"/>
        </w:tblCellMar>
        <w:tblLook w:val="04A0"/>
      </w:tblPr>
      <w:tblGrid>
        <w:gridCol w:w="2232"/>
        <w:gridCol w:w="2613"/>
        <w:gridCol w:w="2042"/>
      </w:tblGrid>
      <w:tr w:rsidR="00D10A00" w:rsidRPr="00D10A00" w:rsidTr="00D10A00">
        <w:tc>
          <w:tcPr>
            <w:tcW w:w="288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Pemerintah</w:t>
            </w:r>
          </w:p>
        </w:tc>
        <w:tc>
          <w:tcPr>
            <w:tcW w:w="27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Dunia Usaha</w:t>
            </w:r>
          </w:p>
        </w:tc>
        <w:tc>
          <w:tcPr>
            <w:tcW w:w="27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10A00" w:rsidRPr="00D10A00" w:rsidRDefault="00D10A00" w:rsidP="00D10A00">
            <w:pPr>
              <w:spacing w:before="100" w:beforeAutospacing="1" w:after="100" w:afterAutospacing="1" w:line="240" w:lineRule="auto"/>
              <w:jc w:val="center"/>
              <w:rPr>
                <w:rFonts w:ascii="Times New Roman" w:eastAsia="Times New Roman" w:hAnsi="Times New Roman" w:cs="Times New Roman"/>
                <w:color w:val="222222"/>
                <w:sz w:val="24"/>
                <w:szCs w:val="24"/>
                <w:lang w:eastAsia="id-ID"/>
              </w:rPr>
            </w:pPr>
            <w:r w:rsidRPr="00D10A00">
              <w:rPr>
                <w:rFonts w:ascii="Tahoma" w:eastAsia="Times New Roman" w:hAnsi="Tahoma" w:cs="Tahoma"/>
                <w:b/>
                <w:bCs/>
                <w:color w:val="222222"/>
                <w:sz w:val="20"/>
                <w:szCs w:val="20"/>
                <w:lang w:eastAsia="id-ID"/>
              </w:rPr>
              <w:t xml:space="preserve">Investor, Konsultan, Supplier, dan </w:t>
            </w:r>
            <w:r w:rsidRPr="00D10A00">
              <w:rPr>
                <w:rFonts w:ascii="Tahoma" w:eastAsia="Times New Roman" w:hAnsi="Tahoma" w:cs="Tahoma"/>
                <w:b/>
                <w:bCs/>
                <w:color w:val="222222"/>
                <w:sz w:val="20"/>
                <w:szCs w:val="20"/>
                <w:lang w:eastAsia="id-ID"/>
              </w:rPr>
              <w:lastRenderedPageBreak/>
              <w:t>Masyarakat</w:t>
            </w:r>
          </w:p>
        </w:tc>
      </w:tr>
      <w:tr w:rsidR="00D10A00" w:rsidRPr="00D10A00" w:rsidTr="00D10A00">
        <w:tc>
          <w:tcPr>
            <w:tcW w:w="2880"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lastRenderedPageBreak/>
              <w:t>Program penaatan yang efektif.</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Alat untuk</w:t>
            </w:r>
            <w:r w:rsidRPr="00D10A00">
              <w:rPr>
                <w:rFonts w:ascii="Tahoma" w:eastAsia="Times New Roman" w:hAnsi="Tahoma" w:cs="Tahoma"/>
                <w:color w:val="FFFFFF"/>
                <w:sz w:val="20"/>
                <w:lang w:eastAsia="id-ID"/>
              </w:rPr>
              <w:t> </w:t>
            </w:r>
            <w:r w:rsidRPr="00D10A00">
              <w:rPr>
                <w:rFonts w:ascii="Tahoma" w:eastAsia="Times New Roman" w:hAnsi="Tahoma" w:cs="Tahoma"/>
                <w:i/>
                <w:iCs/>
                <w:color w:val="FFFFFF"/>
                <w:sz w:val="20"/>
                <w:szCs w:val="20"/>
                <w:lang w:eastAsia="id-ID"/>
              </w:rPr>
              <w:t>benchmarking</w:t>
            </w:r>
            <w:r w:rsidRPr="00D10A00">
              <w:rPr>
                <w:rFonts w:ascii="Tahoma" w:eastAsia="Times New Roman" w:hAnsi="Tahoma" w:cs="Tahoma"/>
                <w:color w:val="FFFFFF"/>
                <w:sz w:val="20"/>
                <w:szCs w:val="20"/>
                <w:lang w:eastAsia="id-ID"/>
              </w:rPr>
              <w:t>untuk kinerja non keuangan perusahaan</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Balai kliring untuk kinerja pengelolaan lingkungan perusahaan.</w:t>
            </w:r>
          </w:p>
        </w:tc>
      </w:tr>
      <w:tr w:rsidR="00D10A00" w:rsidRPr="00D10A00" w:rsidTr="00D10A00">
        <w:tc>
          <w:tcPr>
            <w:tcW w:w="2880"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Faktor pendorong untuk pengembangan basis data terpadu</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Insentif reputasi untuk kinerja yang lebih dari taat.</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Informasi tentang pasar untuk kebutuhan teknologi dan pekerjaan konsultasi dalam pengelolaan lingkungan.</w:t>
            </w:r>
          </w:p>
        </w:tc>
      </w:tr>
      <w:tr w:rsidR="00D10A00" w:rsidRPr="00D10A00" w:rsidTr="00D10A00">
        <w:tc>
          <w:tcPr>
            <w:tcW w:w="2880"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Alternatif instrumen kebijakan untuk mendorong perusahaan menjadi lebih dari sekadar taat “</w:t>
            </w:r>
            <w:r w:rsidRPr="00D10A00">
              <w:rPr>
                <w:rFonts w:ascii="Tahoma" w:eastAsia="Times New Roman" w:hAnsi="Tahoma" w:cs="Tahoma"/>
                <w:i/>
                <w:iCs/>
                <w:color w:val="FFFFFF"/>
                <w:sz w:val="20"/>
                <w:szCs w:val="20"/>
                <w:lang w:eastAsia="id-ID"/>
              </w:rPr>
              <w:t>beyond compliance level</w:t>
            </w:r>
            <w:r w:rsidRPr="00D10A00">
              <w:rPr>
                <w:rFonts w:ascii="Tahoma" w:eastAsia="Times New Roman" w:hAnsi="Tahoma" w:cs="Tahoma"/>
                <w:color w:val="FFFFFF"/>
                <w:sz w:val="20"/>
                <w:szCs w:val="20"/>
                <w:lang w:eastAsia="id-ID"/>
              </w:rPr>
              <w:t>”</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Alat promosi bagi perusahaan yang ramah lingkungan</w:t>
            </w:r>
          </w:p>
        </w:tc>
        <w:tc>
          <w:tcPr>
            <w:tcW w:w="2700"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rsidR="00D10A00" w:rsidRPr="00D10A00" w:rsidRDefault="00D10A00" w:rsidP="00D10A00">
            <w:pPr>
              <w:spacing w:before="100" w:beforeAutospacing="1" w:after="100" w:afterAutospacing="1" w:line="240" w:lineRule="auto"/>
              <w:rPr>
                <w:rFonts w:ascii="Times New Roman" w:eastAsia="Times New Roman" w:hAnsi="Times New Roman" w:cs="Times New Roman"/>
                <w:color w:val="222222"/>
                <w:sz w:val="24"/>
                <w:szCs w:val="24"/>
                <w:lang w:eastAsia="id-ID"/>
              </w:rPr>
            </w:pPr>
            <w:r w:rsidRPr="00D10A00">
              <w:rPr>
                <w:rFonts w:ascii="Tahoma" w:eastAsia="Times New Roman" w:hAnsi="Tahoma" w:cs="Tahoma"/>
                <w:color w:val="FFFFFF"/>
                <w:sz w:val="20"/>
                <w:szCs w:val="20"/>
                <w:lang w:eastAsia="id-ID"/>
              </w:rPr>
              <w:t>Ruang untuk pelibatan masyarakat.</w:t>
            </w:r>
          </w:p>
        </w:tc>
      </w:tr>
    </w:tbl>
    <w:p w:rsidR="00E23884" w:rsidRPr="00D10A00" w:rsidRDefault="00C83150" w:rsidP="00D10A00"/>
    <w:sectPr w:rsidR="00E23884" w:rsidRPr="00D10A00" w:rsidSect="0078594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D10A00"/>
    <w:rsid w:val="002A42F1"/>
    <w:rsid w:val="00785941"/>
    <w:rsid w:val="00B04A05"/>
    <w:rsid w:val="00C83150"/>
    <w:rsid w:val="00D10A0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A0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D10A00"/>
  </w:style>
</w:styles>
</file>

<file path=word/webSettings.xml><?xml version="1.0" encoding="utf-8"?>
<w:webSettings xmlns:r="http://schemas.openxmlformats.org/officeDocument/2006/relationships" xmlns:w="http://schemas.openxmlformats.org/wordprocessingml/2006/main">
  <w:divs>
    <w:div w:id="15234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zatanabee</dc:creator>
  <cp:lastModifiedBy>zatanabee</cp:lastModifiedBy>
  <cp:revision>1</cp:revision>
  <dcterms:created xsi:type="dcterms:W3CDTF">2013-02-12T08:33:00Z</dcterms:created>
  <dcterms:modified xsi:type="dcterms:W3CDTF">2013-02-12T10:59:00Z</dcterms:modified>
</cp:coreProperties>
</file>